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96" w:type="dxa"/>
        <w:tblCellSpacing w:w="15" w:type="dxa"/>
        <w:tblInd w:w="0" w:type="dxa"/>
        <w:tblLayout w:type="fixed"/>
        <w:tblCellMar>
          <w:top w:w="15" w:type="dxa"/>
          <w:left w:w="15" w:type="dxa"/>
          <w:bottom w:w="15" w:type="dxa"/>
          <w:right w:w="15" w:type="dxa"/>
        </w:tblCellMar>
      </w:tblPr>
      <w:tblGrid>
        <w:gridCol w:w="8396"/>
      </w:tblGrid>
      <w:tr>
        <w:tblPrEx>
          <w:tblLayout w:type="fixed"/>
          <w:tblCellMar>
            <w:top w:w="15" w:type="dxa"/>
            <w:left w:w="15" w:type="dxa"/>
            <w:bottom w:w="15" w:type="dxa"/>
            <w:right w:w="15" w:type="dxa"/>
          </w:tblCellMar>
        </w:tblPrEx>
        <w:trPr>
          <w:tblCellSpacing w:w="15" w:type="dxa"/>
        </w:trPr>
        <w:tc>
          <w:tcPr>
            <w:tcW w:w="8336" w:type="dxa"/>
            <w:shd w:val="clear" w:color="auto" w:fill="FFFFFF"/>
            <w:vAlign w:val="center"/>
          </w:tcPr>
          <w:p>
            <w:pPr>
              <w:widowControl/>
              <w:spacing w:line="600" w:lineRule="exact"/>
              <w:jc w:val="left"/>
              <w:rPr>
                <w:rFonts w:ascii="黑体" w:hAnsi="黑体" w:eastAsia="黑体" w:cs="宋体"/>
                <w:b/>
                <w:bCs/>
                <w:kern w:val="0"/>
                <w:sz w:val="28"/>
                <w:szCs w:val="28"/>
              </w:rPr>
            </w:pPr>
            <w:r>
              <w:rPr>
                <w:rFonts w:ascii="黑体" w:hAnsi="黑体" w:eastAsia="黑体" w:cs="宋体"/>
                <w:b/>
                <w:bCs/>
                <w:kern w:val="0"/>
                <w:sz w:val="28"/>
                <w:szCs w:val="28"/>
              </w:rPr>
              <w:t>附件1：</w:t>
            </w:r>
          </w:p>
          <w:p>
            <w:pPr>
              <w:widowControl/>
              <w:spacing w:line="600" w:lineRule="exact"/>
              <w:jc w:val="left"/>
              <w:rPr>
                <w:rFonts w:ascii="华文中宋" w:hAnsi="华文中宋" w:eastAsia="华文中宋" w:cs="宋体"/>
                <w:b/>
                <w:bCs/>
                <w:kern w:val="0"/>
                <w:sz w:val="28"/>
                <w:szCs w:val="28"/>
              </w:rPr>
            </w:pPr>
          </w:p>
          <w:p>
            <w:pPr>
              <w:widowControl/>
              <w:spacing w:line="202" w:lineRule="atLeast"/>
              <w:jc w:val="center"/>
              <w:rPr>
                <w:rFonts w:ascii="华文中宋" w:hAnsi="华文中宋" w:eastAsia="华文中宋" w:cs="宋体"/>
                <w:kern w:val="0"/>
                <w:sz w:val="44"/>
                <w:szCs w:val="44"/>
              </w:rPr>
            </w:pPr>
            <w:r>
              <w:rPr>
                <w:rFonts w:hint="eastAsia" w:ascii="华文中宋" w:hAnsi="华文中宋" w:eastAsia="华文中宋" w:cs="宋体"/>
                <w:b/>
                <w:bCs/>
                <w:kern w:val="0"/>
                <w:sz w:val="44"/>
                <w:szCs w:val="44"/>
              </w:rPr>
              <w:t>中国经济学优秀博士论文奖评选暂行办法</w:t>
            </w:r>
          </w:p>
        </w:tc>
      </w:tr>
    </w:tbl>
    <w:p>
      <w:pPr>
        <w:widowControl/>
        <w:shd w:val="clear" w:color="auto" w:fill="FFFFFF"/>
        <w:rPr>
          <w:rFonts w:ascii="宋体" w:cs="宋体"/>
          <w:b/>
          <w:bCs/>
          <w:kern w:val="0"/>
          <w:sz w:val="28"/>
          <w:szCs w:val="28"/>
        </w:rPr>
      </w:pPr>
    </w:p>
    <w:p>
      <w:pPr>
        <w:widowControl/>
        <w:shd w:val="clear" w:color="auto" w:fill="FFFFFF"/>
        <w:spacing w:afterLines="100"/>
        <w:jc w:val="center"/>
        <w:rPr>
          <w:rFonts w:ascii="黑体" w:hAnsi="黑体" w:eastAsia="黑体" w:cs="宋体"/>
          <w:kern w:val="0"/>
          <w:sz w:val="28"/>
          <w:szCs w:val="28"/>
        </w:rPr>
      </w:pPr>
      <w:r>
        <w:rPr>
          <w:rFonts w:hint="eastAsia" w:ascii="黑体" w:hAnsi="黑体" w:eastAsia="黑体" w:cs="宋体"/>
          <w:kern w:val="0"/>
          <w:sz w:val="28"/>
          <w:szCs w:val="28"/>
        </w:rPr>
        <w:t>一、总则</w:t>
      </w:r>
    </w:p>
    <w:p>
      <w:pPr>
        <w:widowControl/>
        <w:shd w:val="clear" w:color="auto" w:fill="FFFFFF"/>
        <w:ind w:firstLine="562" w:firstLineChars="200"/>
        <w:rPr>
          <w:rFonts w:ascii="宋体" w:cs="宋体"/>
          <w:kern w:val="0"/>
          <w:sz w:val="28"/>
          <w:szCs w:val="28"/>
        </w:rPr>
      </w:pPr>
      <w:r>
        <w:rPr>
          <w:rFonts w:hint="eastAsia" w:ascii="宋体" w:hAnsi="宋体" w:cs="宋体"/>
          <w:b/>
          <w:kern w:val="0"/>
          <w:sz w:val="28"/>
          <w:szCs w:val="28"/>
        </w:rPr>
        <w:t xml:space="preserve">第一条 </w:t>
      </w:r>
      <w:r>
        <w:rPr>
          <w:rFonts w:hint="eastAsia" w:ascii="宋体" w:hAnsi="宋体" w:cs="宋体"/>
          <w:kern w:val="0"/>
          <w:sz w:val="28"/>
          <w:szCs w:val="28"/>
        </w:rPr>
        <w:t>“中国经济学优秀博士论文奖”（以下简称“优博奖”），由北京当代经济学基金会（以下简称“基金会”）设立并组织评选。</w:t>
      </w:r>
    </w:p>
    <w:p>
      <w:pPr>
        <w:widowControl/>
        <w:shd w:val="clear" w:color="auto" w:fill="FFFFFF"/>
        <w:ind w:firstLine="562" w:firstLineChars="200"/>
        <w:rPr>
          <w:rFonts w:ascii="宋体" w:hAnsi="宋体" w:cs="宋体"/>
          <w:kern w:val="0"/>
          <w:sz w:val="28"/>
          <w:szCs w:val="28"/>
        </w:rPr>
      </w:pPr>
      <w:r>
        <w:rPr>
          <w:rFonts w:hint="eastAsia" w:ascii="宋体" w:hAnsi="宋体" w:cs="宋体"/>
          <w:b/>
          <w:kern w:val="0"/>
          <w:sz w:val="28"/>
          <w:szCs w:val="28"/>
        </w:rPr>
        <w:t xml:space="preserve">第二条 </w:t>
      </w:r>
      <w:r>
        <w:rPr>
          <w:rFonts w:hint="eastAsia" w:ascii="宋体" w:hAnsi="宋体" w:cs="宋体"/>
          <w:kern w:val="0"/>
          <w:sz w:val="28"/>
          <w:szCs w:val="28"/>
        </w:rPr>
        <w:t>设立“优博奖”的宗旨，是通过评奖活动，倡导在中国经济学教育中追求学术探索精神，鼓励理论创新。</w:t>
      </w:r>
    </w:p>
    <w:p>
      <w:pPr>
        <w:widowControl/>
        <w:shd w:val="clear" w:color="auto" w:fill="FFFFFF"/>
        <w:ind w:firstLine="562" w:firstLineChars="200"/>
        <w:rPr>
          <w:rFonts w:ascii="宋体" w:cs="宋体"/>
          <w:kern w:val="0"/>
          <w:sz w:val="28"/>
          <w:szCs w:val="28"/>
        </w:rPr>
      </w:pPr>
      <w:r>
        <w:rPr>
          <w:rFonts w:hint="eastAsia" w:ascii="宋体" w:hAnsi="宋体" w:cs="宋体"/>
          <w:b/>
          <w:kern w:val="0"/>
          <w:sz w:val="28"/>
          <w:szCs w:val="28"/>
        </w:rPr>
        <w:t xml:space="preserve">第三条 </w:t>
      </w:r>
      <w:r>
        <w:rPr>
          <w:rFonts w:hint="eastAsia" w:ascii="宋体" w:hAnsi="宋体" w:cs="宋体"/>
          <w:kern w:val="0"/>
          <w:sz w:val="28"/>
          <w:szCs w:val="28"/>
        </w:rPr>
        <w:t>“优博奖”的评奖过程，实行公正原则，严格遵守评奖规则，保持评奖独立性，杜绝任何组织或个人超越本办法的干涉行为。</w:t>
      </w:r>
    </w:p>
    <w:p>
      <w:pPr>
        <w:widowControl/>
        <w:shd w:val="clear" w:color="auto" w:fill="FFFFFF"/>
        <w:ind w:firstLine="562" w:firstLineChars="200"/>
        <w:rPr>
          <w:rFonts w:ascii="宋体" w:cs="宋体"/>
          <w:kern w:val="0"/>
          <w:sz w:val="28"/>
          <w:szCs w:val="28"/>
        </w:rPr>
      </w:pPr>
      <w:r>
        <w:rPr>
          <w:rFonts w:hint="eastAsia" w:ascii="宋体" w:hAnsi="宋体" w:cs="宋体"/>
          <w:b/>
          <w:kern w:val="0"/>
          <w:sz w:val="28"/>
          <w:szCs w:val="28"/>
        </w:rPr>
        <w:t xml:space="preserve">第四条 </w:t>
      </w:r>
      <w:r>
        <w:rPr>
          <w:rFonts w:hint="eastAsia" w:ascii="宋体" w:hAnsi="宋体" w:cs="宋体"/>
          <w:kern w:val="0"/>
          <w:sz w:val="28"/>
          <w:szCs w:val="28"/>
        </w:rPr>
        <w:t>“优博奖”的评选，是在基金会理事会领导下，由基金会学术委员会负责学术指导、学术委员会秘书处负责该奖项的具体评审和组织工作。</w:t>
      </w:r>
    </w:p>
    <w:p>
      <w:pPr>
        <w:widowControl/>
        <w:shd w:val="clear" w:color="auto" w:fill="FFFFFF"/>
        <w:spacing w:afterLines="100"/>
        <w:jc w:val="center"/>
      </w:pPr>
    </w:p>
    <w:p>
      <w:pPr>
        <w:widowControl/>
        <w:shd w:val="clear" w:color="auto" w:fill="FFFFFF"/>
        <w:spacing w:afterLines="100"/>
        <w:jc w:val="center"/>
        <w:rPr>
          <w:rFonts w:ascii="黑体" w:hAnsi="黑体" w:eastAsia="黑体" w:cs="宋体"/>
          <w:kern w:val="0"/>
          <w:sz w:val="28"/>
          <w:szCs w:val="28"/>
        </w:rPr>
      </w:pPr>
      <w:r>
        <w:rPr>
          <w:rFonts w:hint="eastAsia" w:ascii="黑体" w:hAnsi="黑体" w:eastAsia="黑体" w:cs="宋体"/>
          <w:kern w:val="0"/>
          <w:sz w:val="28"/>
          <w:szCs w:val="28"/>
        </w:rPr>
        <w:t>二、评选对象和要求</w:t>
      </w:r>
    </w:p>
    <w:p>
      <w:pPr>
        <w:widowControl/>
        <w:shd w:val="clear" w:color="auto" w:fill="FFFFFF"/>
        <w:ind w:firstLine="562" w:firstLineChars="200"/>
        <w:rPr>
          <w:rFonts w:ascii="宋体" w:cs="宋体"/>
          <w:kern w:val="0"/>
          <w:sz w:val="28"/>
          <w:szCs w:val="28"/>
        </w:rPr>
      </w:pPr>
      <w:r>
        <w:rPr>
          <w:rFonts w:hint="eastAsia" w:ascii="宋体" w:hAnsi="宋体" w:cs="宋体"/>
          <w:b/>
          <w:kern w:val="0"/>
          <w:sz w:val="28"/>
          <w:szCs w:val="28"/>
        </w:rPr>
        <w:t xml:space="preserve">第五条 </w:t>
      </w:r>
      <w:r>
        <w:rPr>
          <w:rFonts w:hint="eastAsia" w:ascii="宋体" w:hAnsi="宋体" w:cs="宋体"/>
          <w:kern w:val="0"/>
          <w:sz w:val="28"/>
          <w:szCs w:val="28"/>
        </w:rPr>
        <w:t>参选对象为中国大陆、港、澳、台地区高等院校经济类博士毕业生，参评作品为其博士毕业论文。</w:t>
      </w:r>
    </w:p>
    <w:p>
      <w:pPr>
        <w:widowControl/>
        <w:shd w:val="clear" w:color="auto" w:fill="FFFFFF"/>
        <w:ind w:firstLine="562" w:firstLineChars="200"/>
        <w:rPr>
          <w:rFonts w:ascii="宋体" w:hAnsi="宋体" w:cs="宋体"/>
          <w:b/>
          <w:bCs/>
          <w:color w:val="4F81BD" w:themeColor="accent1"/>
          <w:kern w:val="0"/>
          <w:sz w:val="28"/>
          <w:szCs w:val="28"/>
          <w:highlight w:val="none"/>
          <w:u w:val="single"/>
          <w14:textFill>
            <w14:solidFill>
              <w14:schemeClr w14:val="accent1"/>
            </w14:solidFill>
          </w14:textFill>
        </w:rPr>
      </w:pPr>
      <w:r>
        <w:rPr>
          <w:rFonts w:hint="eastAsia" w:ascii="宋体" w:hAnsi="宋体" w:cs="宋体"/>
          <w:b/>
          <w:kern w:val="0"/>
          <w:sz w:val="28"/>
          <w:szCs w:val="28"/>
        </w:rPr>
        <w:t xml:space="preserve">第六条 </w:t>
      </w:r>
      <w:r>
        <w:rPr>
          <w:rFonts w:hint="eastAsia" w:ascii="宋体" w:hAnsi="宋体" w:cs="宋体"/>
          <w:kern w:val="0"/>
          <w:sz w:val="28"/>
          <w:szCs w:val="28"/>
        </w:rPr>
        <w:t>参评论文的期限要求。2016年第1届中国经济学优秀博士论文奖的评选，论文截止期限为</w:t>
      </w:r>
      <w:r>
        <w:rPr>
          <w:rFonts w:ascii="宋体" w:hAnsi="宋体" w:cs="宋体"/>
          <w:kern w:val="0"/>
          <w:sz w:val="28"/>
          <w:szCs w:val="28"/>
        </w:rPr>
        <w:t>2010-2015</w:t>
      </w:r>
      <w:r>
        <w:rPr>
          <w:rFonts w:hint="eastAsia" w:ascii="宋体" w:hAnsi="宋体" w:cs="宋体"/>
          <w:kern w:val="0"/>
          <w:sz w:val="28"/>
          <w:szCs w:val="28"/>
        </w:rPr>
        <w:t>年的经济学博士论文；2017年第2届中国经济学优秀博士论文奖的评选，论文截止期限为</w:t>
      </w:r>
      <w:r>
        <w:rPr>
          <w:rFonts w:ascii="宋体" w:hAnsi="宋体" w:cs="宋体"/>
          <w:kern w:val="0"/>
          <w:sz w:val="28"/>
          <w:szCs w:val="28"/>
        </w:rPr>
        <w:t>2013-2016</w:t>
      </w:r>
      <w:r>
        <w:rPr>
          <w:rFonts w:hint="eastAsia" w:ascii="宋体" w:hAnsi="宋体" w:cs="宋体"/>
          <w:kern w:val="0"/>
          <w:sz w:val="28"/>
          <w:szCs w:val="28"/>
        </w:rPr>
        <w:t>年的经济学博士论文；</w:t>
      </w:r>
      <w:r>
        <w:rPr>
          <w:rFonts w:hint="eastAsia" w:ascii="宋体" w:hAnsi="宋体" w:cs="宋体"/>
          <w:b/>
          <w:bCs/>
          <w:color w:val="4F81BD" w:themeColor="accent1"/>
          <w:kern w:val="0"/>
          <w:sz w:val="28"/>
          <w:szCs w:val="28"/>
          <w:highlight w:val="none"/>
          <w:u w:val="single"/>
          <w14:textFill>
            <w14:solidFill>
              <w14:schemeClr w14:val="accent1"/>
            </w14:solidFill>
          </w14:textFill>
        </w:rPr>
        <w:t>从2018年第3届评选开始，论文截止期限为评选年度之前一年</w:t>
      </w:r>
      <w:r>
        <w:rPr>
          <w:rFonts w:hint="eastAsia" w:ascii="宋体" w:hAnsi="宋体" w:cs="宋体"/>
          <w:b/>
          <w:bCs/>
          <w:color w:val="4F81BD" w:themeColor="accent1"/>
          <w:kern w:val="0"/>
          <w:sz w:val="28"/>
          <w:szCs w:val="28"/>
          <w:highlight w:val="none"/>
          <w:u w:val="single"/>
          <w:lang w:eastAsia="zh-CN"/>
          <w14:textFill>
            <w14:solidFill>
              <w14:schemeClr w14:val="accent1"/>
            </w14:solidFill>
          </w14:textFill>
        </w:rPr>
        <w:t>，</w:t>
      </w:r>
      <w:r>
        <w:rPr>
          <w:rFonts w:hint="eastAsia" w:ascii="宋体" w:hAnsi="宋体" w:cs="宋体"/>
          <w:b/>
          <w:bCs/>
          <w:color w:val="4F81BD" w:themeColor="accent1"/>
          <w:kern w:val="0"/>
          <w:sz w:val="28"/>
          <w:szCs w:val="28"/>
          <w:highlight w:val="none"/>
          <w:u w:val="single"/>
          <w:lang w:val="en-US" w:eastAsia="zh-CN"/>
          <w14:textFill>
            <w14:solidFill>
              <w14:schemeClr w14:val="accent1"/>
            </w14:solidFill>
          </w14:textFill>
        </w:rPr>
        <w:t>即2017年毕业</w:t>
      </w:r>
      <w:r>
        <w:rPr>
          <w:rFonts w:hint="eastAsia" w:ascii="宋体" w:hAnsi="宋体" w:cs="宋体"/>
          <w:b/>
          <w:bCs/>
          <w:color w:val="4F81BD" w:themeColor="accent1"/>
          <w:kern w:val="0"/>
          <w:sz w:val="28"/>
          <w:szCs w:val="28"/>
          <w:highlight w:val="none"/>
          <w:u w:val="single"/>
          <w14:textFill>
            <w14:solidFill>
              <w14:schemeClr w14:val="accent1"/>
            </w14:solidFill>
          </w14:textFill>
        </w:rPr>
        <w:t>的经济学博士论文。</w:t>
      </w:r>
      <w:bookmarkStart w:id="0" w:name="_GoBack"/>
      <w:bookmarkEnd w:id="0"/>
    </w:p>
    <w:p>
      <w:pPr>
        <w:widowControl/>
        <w:shd w:val="clear" w:color="auto" w:fill="FFFFFF"/>
        <w:ind w:firstLine="560" w:firstLineChars="200"/>
        <w:rPr>
          <w:rFonts w:ascii="宋体" w:hAnsi="宋体" w:cs="宋体"/>
          <w:kern w:val="0"/>
          <w:sz w:val="28"/>
          <w:szCs w:val="28"/>
        </w:rPr>
      </w:pPr>
      <w:r>
        <w:rPr>
          <w:rFonts w:hint="eastAsia" w:ascii="宋体" w:hAnsi="宋体" w:cs="宋体"/>
          <w:kern w:val="0"/>
          <w:sz w:val="28"/>
          <w:szCs w:val="28"/>
        </w:rPr>
        <w:t>为鼓励经济学博士生的理论创新，体现博士生理论创新潜力，参选人在提交参选博士论文的同时，可一并提交博士生毕业后两年内与博士论文相关的后续学术研究论文，供评选参考。</w:t>
      </w:r>
    </w:p>
    <w:p>
      <w:pPr>
        <w:widowControl/>
        <w:numPr>
          <w:ilvl w:val="0"/>
          <w:numId w:val="1"/>
        </w:numPr>
        <w:shd w:val="clear" w:color="auto" w:fill="FFFFFF"/>
        <w:ind w:firstLine="560" w:firstLineChars="200"/>
        <w:rPr>
          <w:rFonts w:ascii="宋体" w:hAnsi="宋体" w:cs="宋体"/>
          <w:b/>
          <w:kern w:val="0"/>
          <w:sz w:val="28"/>
          <w:szCs w:val="28"/>
        </w:rPr>
      </w:pPr>
      <w:r>
        <w:rPr>
          <w:rFonts w:hint="eastAsia" w:ascii="宋体" w:hAnsi="宋体" w:cs="宋体"/>
          <w:bCs/>
          <w:kern w:val="0"/>
          <w:sz w:val="28"/>
          <w:szCs w:val="28"/>
        </w:rPr>
        <w:t xml:space="preserve"> 每篇获奖博士毕业论文的奖励金额为</w:t>
      </w:r>
      <w:r>
        <w:rPr>
          <w:rFonts w:ascii="宋体" w:hAnsi="宋体" w:cs="宋体"/>
          <w:kern w:val="0"/>
          <w:sz w:val="28"/>
          <w:szCs w:val="28"/>
        </w:rPr>
        <w:t>10</w:t>
      </w:r>
      <w:r>
        <w:rPr>
          <w:rFonts w:hint="eastAsia" w:ascii="宋体" w:hAnsi="宋体" w:cs="宋体"/>
          <w:kern w:val="0"/>
          <w:sz w:val="28"/>
          <w:szCs w:val="28"/>
        </w:rPr>
        <w:t>万人民币（税前，含导师费用</w:t>
      </w:r>
      <w:r>
        <w:rPr>
          <w:rFonts w:ascii="宋体" w:hAnsi="宋体" w:cs="宋体"/>
          <w:kern w:val="0"/>
          <w:sz w:val="28"/>
          <w:szCs w:val="28"/>
        </w:rPr>
        <w:t>2</w:t>
      </w:r>
      <w:r>
        <w:rPr>
          <w:rFonts w:hint="eastAsia" w:ascii="宋体" w:hAnsi="宋体" w:cs="宋体"/>
          <w:kern w:val="0"/>
          <w:sz w:val="28"/>
          <w:szCs w:val="28"/>
        </w:rPr>
        <w:t>万）。</w:t>
      </w:r>
    </w:p>
    <w:p>
      <w:pPr>
        <w:widowControl/>
        <w:shd w:val="clear" w:color="auto" w:fill="FFFFFF"/>
        <w:ind w:firstLine="562" w:firstLineChars="200"/>
        <w:rPr>
          <w:rFonts w:ascii="宋体" w:cs="宋体"/>
          <w:b/>
          <w:kern w:val="0"/>
          <w:sz w:val="28"/>
          <w:szCs w:val="28"/>
        </w:rPr>
      </w:pPr>
      <w:r>
        <w:rPr>
          <w:rFonts w:hint="eastAsia" w:ascii="宋体" w:hAnsi="宋体" w:cs="宋体"/>
          <w:b/>
          <w:kern w:val="0"/>
          <w:sz w:val="28"/>
          <w:szCs w:val="28"/>
        </w:rPr>
        <w:t xml:space="preserve">第八条 </w:t>
      </w:r>
      <w:r>
        <w:rPr>
          <w:rFonts w:hint="eastAsia" w:ascii="宋体" w:hAnsi="宋体" w:cs="宋体"/>
          <w:kern w:val="0"/>
          <w:sz w:val="28"/>
          <w:szCs w:val="28"/>
        </w:rPr>
        <w:t>获得“优博奖”的论文，每年最多评选</w:t>
      </w:r>
      <w:r>
        <w:rPr>
          <w:rFonts w:ascii="宋体" w:hAnsi="宋体" w:cs="宋体"/>
          <w:kern w:val="0"/>
          <w:sz w:val="28"/>
          <w:szCs w:val="28"/>
        </w:rPr>
        <w:t>10</w:t>
      </w:r>
      <w:r>
        <w:rPr>
          <w:rFonts w:hint="eastAsia" w:ascii="宋体" w:hAnsi="宋体" w:cs="宋体"/>
          <w:kern w:val="0"/>
          <w:sz w:val="28"/>
          <w:szCs w:val="28"/>
        </w:rPr>
        <w:t>篇，奖金最高总额共</w:t>
      </w:r>
      <w:r>
        <w:rPr>
          <w:rFonts w:ascii="宋体" w:hAnsi="宋体" w:cs="宋体"/>
          <w:kern w:val="0"/>
          <w:sz w:val="28"/>
          <w:szCs w:val="28"/>
        </w:rPr>
        <w:t>100</w:t>
      </w:r>
      <w:r>
        <w:rPr>
          <w:rFonts w:hint="eastAsia" w:ascii="宋体" w:hAnsi="宋体" w:cs="宋体"/>
          <w:kern w:val="0"/>
          <w:sz w:val="28"/>
          <w:szCs w:val="28"/>
        </w:rPr>
        <w:t>万元人民币。</w:t>
      </w:r>
    </w:p>
    <w:p>
      <w:pPr>
        <w:widowControl/>
        <w:shd w:val="clear" w:color="auto" w:fill="FFFFFF"/>
        <w:ind w:firstLine="562" w:firstLineChars="200"/>
        <w:rPr>
          <w:rFonts w:ascii="宋体" w:cs="宋体"/>
          <w:b/>
          <w:kern w:val="0"/>
          <w:sz w:val="28"/>
          <w:szCs w:val="28"/>
        </w:rPr>
      </w:pPr>
      <w:r>
        <w:rPr>
          <w:rFonts w:hint="eastAsia" w:ascii="宋体" w:hAnsi="宋体" w:cs="宋体"/>
          <w:b/>
          <w:kern w:val="0"/>
          <w:sz w:val="28"/>
          <w:szCs w:val="28"/>
        </w:rPr>
        <w:t xml:space="preserve">第九条 </w:t>
      </w:r>
      <w:r>
        <w:rPr>
          <w:rFonts w:hint="eastAsia" w:ascii="宋体" w:hAnsi="宋体" w:cs="宋体"/>
          <w:kern w:val="0"/>
          <w:sz w:val="28"/>
          <w:szCs w:val="28"/>
        </w:rPr>
        <w:t>获奖论文的学术要求</w:t>
      </w:r>
      <w:r>
        <w:rPr>
          <w:rFonts w:hint="eastAsia" w:ascii="宋体" w:cs="宋体"/>
          <w:b/>
          <w:kern w:val="0"/>
          <w:sz w:val="28"/>
          <w:szCs w:val="28"/>
        </w:rPr>
        <w:t>。</w:t>
      </w:r>
      <w:r>
        <w:rPr>
          <w:rFonts w:hint="eastAsia" w:ascii="宋体" w:hAnsi="宋体" w:cs="宋体"/>
          <w:kern w:val="0"/>
          <w:sz w:val="28"/>
          <w:szCs w:val="28"/>
        </w:rPr>
        <w:t>在经济学基础理论和研究方法方面有开拓性贡献和创新，或对现实重大经济问题能提出创新性解决方案。</w:t>
      </w:r>
    </w:p>
    <w:p>
      <w:pPr>
        <w:widowControl/>
        <w:shd w:val="clear" w:color="auto" w:fill="FFFFFF"/>
        <w:ind w:firstLine="562" w:firstLineChars="200"/>
        <w:rPr>
          <w:rFonts w:ascii="宋体" w:hAnsi="宋体" w:cs="宋体"/>
          <w:kern w:val="0"/>
          <w:sz w:val="28"/>
          <w:szCs w:val="28"/>
        </w:rPr>
      </w:pPr>
      <w:r>
        <w:rPr>
          <w:rFonts w:hint="eastAsia" w:ascii="宋体" w:hAnsi="宋体" w:cs="宋体"/>
          <w:b/>
          <w:kern w:val="0"/>
          <w:sz w:val="28"/>
          <w:szCs w:val="28"/>
        </w:rPr>
        <w:t xml:space="preserve">第十条 </w:t>
      </w:r>
      <w:r>
        <w:rPr>
          <w:rFonts w:hint="eastAsia" w:ascii="宋体" w:hAnsi="宋体" w:cs="宋体"/>
          <w:kern w:val="0"/>
          <w:sz w:val="28"/>
          <w:szCs w:val="28"/>
        </w:rPr>
        <w:t>参评论文的语言为中文（简、繁体字均可）。若论文原稿为英文或其他语言的，应提供中文译稿。</w:t>
      </w:r>
    </w:p>
    <w:p>
      <w:pPr>
        <w:widowControl/>
        <w:shd w:val="clear" w:color="auto" w:fill="FFFFFF"/>
        <w:ind w:firstLine="560" w:firstLineChars="200"/>
        <w:rPr>
          <w:rFonts w:ascii="宋体" w:cs="宋体"/>
          <w:kern w:val="0"/>
          <w:sz w:val="28"/>
          <w:szCs w:val="28"/>
        </w:rPr>
      </w:pPr>
    </w:p>
    <w:p>
      <w:pPr>
        <w:widowControl/>
        <w:shd w:val="clear" w:color="auto" w:fill="FFFFFF"/>
        <w:spacing w:afterLines="100"/>
        <w:jc w:val="center"/>
        <w:rPr>
          <w:rFonts w:ascii="宋体" w:cs="宋体"/>
          <w:kern w:val="0"/>
          <w:sz w:val="28"/>
          <w:szCs w:val="28"/>
        </w:rPr>
      </w:pPr>
      <w:r>
        <w:rPr>
          <w:rFonts w:hint="eastAsia" w:ascii="黑体" w:hAnsi="黑体" w:eastAsia="黑体" w:cs="宋体"/>
          <w:kern w:val="0"/>
          <w:sz w:val="28"/>
          <w:szCs w:val="28"/>
        </w:rPr>
        <w:t>三、提名人和投票权</w:t>
      </w:r>
    </w:p>
    <w:p>
      <w:pPr>
        <w:widowControl/>
        <w:shd w:val="clear" w:color="auto" w:fill="FFFFFF"/>
        <w:ind w:firstLine="562" w:firstLineChars="200"/>
        <w:rPr>
          <w:rFonts w:ascii="宋体" w:cs="宋体"/>
          <w:kern w:val="0"/>
          <w:sz w:val="28"/>
          <w:szCs w:val="28"/>
        </w:rPr>
      </w:pPr>
      <w:r>
        <w:rPr>
          <w:rFonts w:hint="eastAsia" w:ascii="宋体" w:hAnsi="宋体" w:cs="宋体"/>
          <w:b/>
          <w:kern w:val="0"/>
          <w:sz w:val="28"/>
          <w:szCs w:val="28"/>
        </w:rPr>
        <w:t xml:space="preserve">第十一条 </w:t>
      </w:r>
      <w:r>
        <w:rPr>
          <w:rFonts w:hint="eastAsia" w:ascii="宋体" w:hAnsi="宋体" w:cs="宋体"/>
          <w:kern w:val="0"/>
          <w:sz w:val="28"/>
          <w:szCs w:val="28"/>
        </w:rPr>
        <w:t>本奖项评选设“提名人”制度。</w:t>
      </w:r>
    </w:p>
    <w:p>
      <w:pPr>
        <w:ind w:firstLine="420"/>
        <w:rPr>
          <w:rFonts w:ascii="宋体" w:hAnsi="宋体" w:cs="宋体"/>
          <w:kern w:val="0"/>
          <w:sz w:val="28"/>
          <w:szCs w:val="28"/>
        </w:rPr>
      </w:pPr>
      <w:r>
        <w:rPr>
          <w:rFonts w:hint="eastAsia" w:ascii="宋体" w:hAnsi="宋体" w:cs="宋体"/>
          <w:b/>
          <w:bCs/>
          <w:kern w:val="0"/>
          <w:sz w:val="28"/>
          <w:szCs w:val="28"/>
        </w:rPr>
        <w:t xml:space="preserve"> 第十二条 </w:t>
      </w:r>
      <w:r>
        <w:rPr>
          <w:rFonts w:hint="eastAsia" w:ascii="宋体" w:hAnsi="宋体" w:cs="宋体"/>
          <w:kern w:val="0"/>
          <w:sz w:val="28"/>
          <w:szCs w:val="28"/>
        </w:rPr>
        <w:t>本办法所述提名人，须为中国国务院教育部学位中心和国务院学位办发布的授予博士学位教育的高校及科研单位经济学类学院院长、研究所所长及其院（所）长指定的学术代表人；进入QS地区顶尖大学前300排行榜的香港、澳门及台湾相应的高等院校经济类学院院长及院长指定的学术代表人。</w:t>
      </w:r>
    </w:p>
    <w:p>
      <w:pPr>
        <w:ind w:firstLine="420"/>
        <w:rPr>
          <w:rFonts w:ascii="宋体" w:hAnsi="宋体" w:cs="宋体"/>
          <w:kern w:val="0"/>
          <w:sz w:val="28"/>
          <w:szCs w:val="28"/>
        </w:rPr>
      </w:pPr>
      <w:r>
        <w:rPr>
          <w:rFonts w:hint="eastAsia" w:ascii="宋体" w:hAnsi="宋体" w:cs="宋体"/>
          <w:b/>
          <w:bCs/>
          <w:kern w:val="0"/>
          <w:sz w:val="28"/>
          <w:szCs w:val="28"/>
        </w:rPr>
        <w:t xml:space="preserve"> 第十三条 </w:t>
      </w:r>
      <w:r>
        <w:rPr>
          <w:rFonts w:hint="eastAsia" w:ascii="宋体" w:hAnsi="宋体" w:cs="宋体"/>
          <w:kern w:val="0"/>
          <w:sz w:val="28"/>
          <w:szCs w:val="28"/>
        </w:rPr>
        <w:t>每位提名人可提名1-2位本校或非本校的博士候选人及其论文参加“优博奖”评选。</w:t>
      </w:r>
    </w:p>
    <w:p>
      <w:pPr>
        <w:ind w:firstLine="420"/>
        <w:rPr>
          <w:rFonts w:ascii="宋体" w:hAnsi="宋体" w:cs="宋体"/>
          <w:kern w:val="0"/>
          <w:sz w:val="28"/>
          <w:szCs w:val="28"/>
        </w:rPr>
      </w:pPr>
      <w:r>
        <w:rPr>
          <w:rFonts w:hint="eastAsia" w:ascii="宋体" w:hAnsi="宋体" w:cs="宋体"/>
          <w:b/>
          <w:bCs/>
          <w:kern w:val="0"/>
          <w:sz w:val="28"/>
          <w:szCs w:val="28"/>
        </w:rPr>
        <w:t xml:space="preserve">第十四条 </w:t>
      </w:r>
      <w:r>
        <w:rPr>
          <w:rFonts w:hint="eastAsia" w:ascii="宋体" w:hAnsi="宋体" w:cs="宋体"/>
          <w:bCs/>
          <w:kern w:val="0"/>
          <w:sz w:val="28"/>
          <w:szCs w:val="28"/>
        </w:rPr>
        <w:t>提名。由提名人向基金会提出“优博奖”候选人时，需填写提交《中国经济学优秀博士论文推荐表》等材料，撰写推荐理由</w:t>
      </w:r>
      <w:r>
        <w:rPr>
          <w:rFonts w:hint="eastAsia" w:ascii="宋体" w:hAnsi="宋体" w:cs="宋体"/>
          <w:kern w:val="0"/>
          <w:sz w:val="28"/>
          <w:szCs w:val="28"/>
        </w:rPr>
        <w:t>，简述参选作品在经济学理论或研究方法等方面的创新贡献等。</w:t>
      </w:r>
    </w:p>
    <w:p>
      <w:pPr>
        <w:widowControl/>
        <w:shd w:val="clear" w:color="auto" w:fill="FFFFFF"/>
        <w:ind w:firstLine="420"/>
        <w:rPr>
          <w:rFonts w:ascii="宋体" w:hAnsi="宋体" w:cs="宋体"/>
          <w:kern w:val="0"/>
          <w:sz w:val="28"/>
          <w:szCs w:val="28"/>
        </w:rPr>
      </w:pPr>
      <w:r>
        <w:rPr>
          <w:rFonts w:hint="eastAsia" w:ascii="宋体" w:hAnsi="宋体" w:cs="宋体"/>
          <w:b/>
          <w:kern w:val="0"/>
          <w:sz w:val="28"/>
          <w:szCs w:val="28"/>
        </w:rPr>
        <w:t>第十五条</w:t>
      </w:r>
      <w:r>
        <w:rPr>
          <w:rFonts w:hint="eastAsia" w:ascii="宋体" w:hAnsi="宋体" w:cs="宋体"/>
          <w:kern w:val="0"/>
          <w:sz w:val="28"/>
          <w:szCs w:val="28"/>
        </w:rPr>
        <w:t xml:space="preserve"> 资格审查与公示。由评奖组织者对参评人资格和参评材料进行审查。合格者，将其相关材料进入公示程序。</w:t>
      </w:r>
    </w:p>
    <w:p>
      <w:pPr>
        <w:widowControl/>
        <w:shd w:val="clear" w:color="auto" w:fill="FFFFFF"/>
        <w:ind w:firstLine="562" w:firstLineChars="200"/>
        <w:rPr>
          <w:rFonts w:ascii="宋体" w:hAnsi="宋体" w:cs="宋体"/>
          <w:b/>
          <w:kern w:val="0"/>
          <w:sz w:val="28"/>
          <w:szCs w:val="28"/>
        </w:rPr>
      </w:pPr>
      <w:r>
        <w:rPr>
          <w:rFonts w:hint="eastAsia" w:ascii="宋体" w:hAnsi="宋体" w:cs="宋体"/>
          <w:b/>
          <w:kern w:val="0"/>
          <w:sz w:val="28"/>
          <w:szCs w:val="28"/>
        </w:rPr>
        <w:t xml:space="preserve">第十六条 </w:t>
      </w:r>
      <w:r>
        <w:rPr>
          <w:rFonts w:hint="eastAsia" w:ascii="宋体" w:hAnsi="宋体" w:cs="宋体"/>
          <w:kern w:val="0"/>
          <w:sz w:val="28"/>
          <w:szCs w:val="28"/>
        </w:rPr>
        <w:t>公示期间，由评奖组织者负责收集社会各界对被提名人资格及博士毕业论文原创性、理论和方法的创新性等情况的质询。对参评人资质及博士毕业论文争议较大的，由基金会学术委员会裁定，予以取消参评人资格。</w:t>
      </w:r>
    </w:p>
    <w:p>
      <w:pPr>
        <w:widowControl/>
        <w:shd w:val="clear" w:color="auto" w:fill="FFFFFF"/>
        <w:spacing w:afterLines="100"/>
        <w:jc w:val="center"/>
        <w:rPr>
          <w:rFonts w:ascii="黑体" w:hAnsi="黑体" w:eastAsia="黑体" w:cs="宋体"/>
          <w:kern w:val="0"/>
          <w:sz w:val="28"/>
          <w:szCs w:val="28"/>
        </w:rPr>
      </w:pPr>
      <w:r>
        <w:rPr>
          <w:rFonts w:hint="eastAsia" w:ascii="黑体" w:hAnsi="黑体" w:eastAsia="黑体" w:cs="宋体"/>
          <w:kern w:val="0"/>
          <w:sz w:val="28"/>
          <w:szCs w:val="28"/>
        </w:rPr>
        <w:t>四、评选细则</w:t>
      </w:r>
    </w:p>
    <w:p>
      <w:pPr>
        <w:ind w:firstLine="562" w:firstLineChars="200"/>
        <w:rPr>
          <w:rFonts w:ascii="宋体" w:hAnsi="宋体" w:cs="宋体"/>
          <w:kern w:val="0"/>
          <w:sz w:val="28"/>
          <w:szCs w:val="28"/>
        </w:rPr>
      </w:pPr>
      <w:r>
        <w:rPr>
          <w:rFonts w:hint="eastAsia"/>
          <w:b/>
          <w:sz w:val="28"/>
          <w:szCs w:val="28"/>
        </w:rPr>
        <w:t xml:space="preserve">第十七条 </w:t>
      </w:r>
      <w:r>
        <w:rPr>
          <w:rFonts w:hint="eastAsia" w:ascii="宋体" w:hAnsi="宋体" w:cs="宋体"/>
          <w:kern w:val="0"/>
          <w:sz w:val="28"/>
          <w:szCs w:val="28"/>
        </w:rPr>
        <w:t>初评。由本奖项“提名人”进行线上投票评选。每位提名人有初始投票权</w:t>
      </w:r>
      <w:r>
        <w:rPr>
          <w:rFonts w:ascii="宋体" w:hAnsi="宋体" w:cs="宋体"/>
          <w:kern w:val="0"/>
          <w:sz w:val="28"/>
          <w:szCs w:val="28"/>
        </w:rPr>
        <w:t>10</w:t>
      </w:r>
      <w:r>
        <w:rPr>
          <w:rFonts w:hint="eastAsia" w:ascii="宋体" w:hAnsi="宋体" w:cs="宋体"/>
          <w:kern w:val="0"/>
          <w:sz w:val="28"/>
          <w:szCs w:val="28"/>
        </w:rPr>
        <w:t>票。</w:t>
      </w:r>
      <w:r>
        <w:rPr>
          <w:rFonts w:ascii="宋体" w:hAnsi="宋体" w:cs="宋体"/>
          <w:kern w:val="0"/>
          <w:sz w:val="28"/>
          <w:szCs w:val="28"/>
        </w:rPr>
        <w:t>10</w:t>
      </w:r>
      <w:r>
        <w:rPr>
          <w:rFonts w:hint="eastAsia" w:ascii="宋体" w:hAnsi="宋体" w:cs="宋体"/>
          <w:kern w:val="0"/>
          <w:sz w:val="28"/>
          <w:szCs w:val="28"/>
        </w:rPr>
        <w:t>票可分别投给一篇或多篇论文，直至投完为止（提名人投票给自己提名的博士论文最多投5票，否则为废票）。若提名人当年提名的博士论文获得优博奖时，该提名人在下一年度投票权增加5票(如果提名人较上一年度投票权增加，则本年度该提名人投给自己提名的博士论文相应增加5票)。增加的投票权可逐年累计并持续拥有，但最高累计投票权上限为30票。</w:t>
      </w:r>
    </w:p>
    <w:p>
      <w:pPr>
        <w:ind w:firstLine="562" w:firstLineChars="200"/>
        <w:rPr>
          <w:sz w:val="28"/>
          <w:szCs w:val="28"/>
        </w:rPr>
      </w:pPr>
      <w:r>
        <w:rPr>
          <w:rFonts w:hint="eastAsia"/>
          <w:b/>
          <w:sz w:val="28"/>
          <w:szCs w:val="28"/>
        </w:rPr>
        <w:t xml:space="preserve">第十八条 </w:t>
      </w:r>
      <w:r>
        <w:rPr>
          <w:rFonts w:hint="eastAsia" w:ascii="宋体" w:hAnsi="宋体" w:cs="宋体"/>
          <w:kern w:val="0"/>
          <w:sz w:val="28"/>
          <w:szCs w:val="28"/>
        </w:rPr>
        <w:t>复评。初评按得票数高低，选出前</w:t>
      </w:r>
      <w:r>
        <w:rPr>
          <w:rFonts w:ascii="宋体" w:hAnsi="宋体" w:cs="宋体"/>
          <w:kern w:val="0"/>
          <w:sz w:val="28"/>
          <w:szCs w:val="28"/>
        </w:rPr>
        <w:t>20</w:t>
      </w:r>
      <w:r>
        <w:rPr>
          <w:rFonts w:hint="eastAsia" w:ascii="宋体" w:hAnsi="宋体" w:cs="宋体"/>
          <w:kern w:val="0"/>
          <w:sz w:val="28"/>
          <w:szCs w:val="28"/>
        </w:rPr>
        <w:t>篇博士论文。</w:t>
      </w:r>
    </w:p>
    <w:p>
      <w:pPr>
        <w:widowControl/>
        <w:shd w:val="clear" w:color="auto" w:fill="FFFFFF"/>
        <w:ind w:firstLine="560" w:firstLineChars="200"/>
        <w:rPr>
          <w:rFonts w:ascii="宋体" w:cs="宋体"/>
          <w:kern w:val="0"/>
          <w:sz w:val="28"/>
          <w:szCs w:val="28"/>
        </w:rPr>
      </w:pPr>
      <w:r>
        <w:rPr>
          <w:rFonts w:hint="eastAsia" w:ascii="宋体" w:hAnsi="宋体" w:cs="宋体"/>
          <w:kern w:val="0"/>
          <w:sz w:val="28"/>
          <w:szCs w:val="28"/>
        </w:rPr>
        <w:t>由基金会秘书处根据初评选出的</w:t>
      </w:r>
      <w:r>
        <w:rPr>
          <w:rFonts w:ascii="宋体" w:hAnsi="宋体" w:cs="宋体"/>
          <w:kern w:val="0"/>
          <w:sz w:val="28"/>
          <w:szCs w:val="28"/>
        </w:rPr>
        <w:t>20</w:t>
      </w:r>
      <w:r>
        <w:rPr>
          <w:rFonts w:hint="eastAsia" w:ascii="宋体" w:hAnsi="宋体" w:cs="宋体"/>
          <w:kern w:val="0"/>
          <w:sz w:val="28"/>
          <w:szCs w:val="28"/>
        </w:rPr>
        <w:t>篇博士论文内容，分不同的经济学研究领域，组织相关领域的海内外学术权威进行现场讨论投票，按得票数高低，选出前</w:t>
      </w:r>
      <w:r>
        <w:rPr>
          <w:rFonts w:ascii="宋体" w:hAnsi="宋体" w:cs="宋体"/>
          <w:kern w:val="0"/>
          <w:sz w:val="28"/>
          <w:szCs w:val="28"/>
        </w:rPr>
        <w:t>10</w:t>
      </w:r>
      <w:r>
        <w:rPr>
          <w:rFonts w:hint="eastAsia" w:ascii="宋体" w:hAnsi="宋体" w:cs="宋体"/>
          <w:kern w:val="0"/>
          <w:sz w:val="28"/>
          <w:szCs w:val="28"/>
        </w:rPr>
        <w:t>名为获奖作品。复评时，对出现争议较大的博士论文，可在增加对参评人员面试式质询，后进行新一轮投票决定。</w:t>
      </w:r>
    </w:p>
    <w:p>
      <w:pPr>
        <w:widowControl/>
        <w:shd w:val="clear" w:color="auto" w:fill="FFFFFF"/>
        <w:ind w:firstLine="562" w:firstLineChars="200"/>
        <w:rPr>
          <w:rFonts w:ascii="宋体" w:cs="宋体"/>
          <w:kern w:val="0"/>
          <w:sz w:val="28"/>
          <w:szCs w:val="28"/>
        </w:rPr>
      </w:pPr>
      <w:r>
        <w:rPr>
          <w:rFonts w:hint="eastAsia" w:ascii="宋体" w:hAnsi="宋体" w:cs="宋体"/>
          <w:b/>
          <w:kern w:val="0"/>
          <w:sz w:val="28"/>
          <w:szCs w:val="28"/>
        </w:rPr>
        <w:t xml:space="preserve">第十九条 </w:t>
      </w:r>
      <w:r>
        <w:rPr>
          <w:rFonts w:hint="eastAsia" w:ascii="宋体" w:hAnsi="宋体" w:cs="宋体"/>
          <w:kern w:val="0"/>
          <w:sz w:val="28"/>
          <w:szCs w:val="28"/>
        </w:rPr>
        <w:t>参加复评的评选专家与本奖项20名候选人为同一单位的，采取回避原则。</w:t>
      </w:r>
    </w:p>
    <w:p>
      <w:pPr>
        <w:ind w:firstLine="551" w:firstLineChars="196"/>
      </w:pPr>
      <w:r>
        <w:rPr>
          <w:rFonts w:hint="eastAsia" w:ascii="宋体" w:hAnsi="宋体" w:cs="宋体"/>
          <w:b/>
          <w:kern w:val="0"/>
          <w:sz w:val="28"/>
          <w:szCs w:val="28"/>
        </w:rPr>
        <w:t xml:space="preserve">第二十条 </w:t>
      </w:r>
      <w:r>
        <w:rPr>
          <w:rFonts w:hint="eastAsia" w:ascii="宋体" w:hAnsi="宋体" w:cs="宋体"/>
          <w:kern w:val="0"/>
          <w:sz w:val="28"/>
          <w:szCs w:val="28"/>
        </w:rPr>
        <w:t>颁奖。每年由基金会组织“优博奖”获得者颁奖仪式。</w:t>
      </w:r>
    </w:p>
    <w:p>
      <w:pPr>
        <w:widowControl/>
        <w:shd w:val="clear" w:color="auto" w:fill="FFFFFF"/>
        <w:spacing w:afterLines="100"/>
        <w:jc w:val="center"/>
        <w:rPr>
          <w:rFonts w:ascii="黑体" w:hAnsi="黑体" w:eastAsia="黑体" w:cs="宋体"/>
          <w:kern w:val="0"/>
          <w:sz w:val="28"/>
          <w:szCs w:val="28"/>
        </w:rPr>
      </w:pPr>
      <w:r>
        <w:rPr>
          <w:rFonts w:hint="eastAsia" w:ascii="黑体" w:hAnsi="黑体" w:eastAsia="黑体" w:cs="宋体"/>
          <w:kern w:val="0"/>
          <w:sz w:val="28"/>
          <w:szCs w:val="28"/>
        </w:rPr>
        <w:t>五、后续资助工作</w:t>
      </w:r>
    </w:p>
    <w:p>
      <w:pPr>
        <w:widowControl/>
        <w:shd w:val="clear" w:color="auto" w:fill="FFFFFF"/>
        <w:ind w:firstLine="562" w:firstLineChars="200"/>
        <w:rPr>
          <w:rFonts w:ascii="宋体" w:cs="宋体"/>
          <w:b/>
          <w:kern w:val="0"/>
          <w:sz w:val="28"/>
          <w:szCs w:val="28"/>
        </w:rPr>
      </w:pPr>
      <w:r>
        <w:rPr>
          <w:rFonts w:hint="eastAsia" w:ascii="宋体" w:hAnsi="宋体" w:cs="宋体"/>
          <w:b/>
          <w:kern w:val="0"/>
          <w:sz w:val="28"/>
          <w:szCs w:val="28"/>
        </w:rPr>
        <w:t xml:space="preserve">第二十一条 </w:t>
      </w:r>
      <w:r>
        <w:rPr>
          <w:rFonts w:hint="eastAsia" w:ascii="宋体" w:hAnsi="宋体" w:cs="宋体"/>
          <w:kern w:val="0"/>
          <w:sz w:val="28"/>
          <w:szCs w:val="28"/>
        </w:rPr>
        <w:t>由基金会出资，对每年被选出的获奖论文组织出版系列丛书。</w:t>
      </w:r>
    </w:p>
    <w:p>
      <w:pPr>
        <w:widowControl/>
        <w:shd w:val="clear" w:color="auto" w:fill="FFFFFF"/>
        <w:ind w:firstLine="562" w:firstLineChars="200"/>
        <w:rPr>
          <w:rFonts w:ascii="宋体" w:cs="宋体"/>
          <w:kern w:val="0"/>
          <w:sz w:val="28"/>
          <w:szCs w:val="28"/>
        </w:rPr>
      </w:pPr>
      <w:r>
        <w:rPr>
          <w:rFonts w:hint="eastAsia" w:ascii="宋体" w:hAnsi="宋体" w:cs="宋体"/>
          <w:b/>
          <w:kern w:val="0"/>
          <w:sz w:val="28"/>
          <w:szCs w:val="28"/>
        </w:rPr>
        <w:t xml:space="preserve">第二十二条 </w:t>
      </w:r>
      <w:r>
        <w:rPr>
          <w:rFonts w:hint="eastAsia" w:ascii="宋体" w:hAnsi="宋体" w:cs="宋体"/>
          <w:kern w:val="0"/>
          <w:sz w:val="28"/>
          <w:szCs w:val="28"/>
        </w:rPr>
        <w:t>视需要，由基金会资助，对获奖作品公开刊载提供帮助，对获奖作品内容组织学术讨论与交流活动，宣传获奖作品的学术思想。</w:t>
      </w:r>
    </w:p>
    <w:p>
      <w:pPr>
        <w:widowControl/>
        <w:shd w:val="clear" w:color="auto" w:fill="FFFFFF"/>
        <w:ind w:firstLine="562" w:firstLineChars="200"/>
        <w:rPr>
          <w:rFonts w:ascii="宋体" w:hAnsi="宋体" w:cs="宋体"/>
          <w:kern w:val="0"/>
          <w:sz w:val="28"/>
          <w:szCs w:val="28"/>
        </w:rPr>
      </w:pPr>
      <w:r>
        <w:rPr>
          <w:rFonts w:hint="eastAsia" w:ascii="宋体" w:hAnsi="宋体" w:cs="宋体"/>
          <w:b/>
          <w:kern w:val="0"/>
          <w:sz w:val="28"/>
          <w:szCs w:val="28"/>
        </w:rPr>
        <w:t xml:space="preserve">第二十三条 </w:t>
      </w:r>
      <w:r>
        <w:rPr>
          <w:rFonts w:hint="eastAsia" w:ascii="宋体" w:hAnsi="宋体" w:cs="宋体"/>
          <w:kern w:val="0"/>
          <w:sz w:val="28"/>
          <w:szCs w:val="28"/>
        </w:rPr>
        <w:t>由基金会出面，为“优博奖”获得者申请海外著名高校、智库进一步深造及申请博士后工作站等一系列学术深造提供帮助。</w:t>
      </w:r>
    </w:p>
    <w:p>
      <w:pPr>
        <w:widowControl/>
        <w:shd w:val="clear" w:color="auto" w:fill="FFFFFF"/>
        <w:ind w:firstLine="562" w:firstLineChars="200"/>
        <w:rPr>
          <w:rFonts w:ascii="宋体" w:hAnsi="宋体" w:cs="宋体"/>
          <w:kern w:val="0"/>
          <w:sz w:val="28"/>
          <w:szCs w:val="28"/>
        </w:rPr>
      </w:pPr>
      <w:r>
        <w:rPr>
          <w:rFonts w:hint="eastAsia" w:ascii="宋体" w:hAnsi="宋体" w:cs="宋体"/>
          <w:b/>
          <w:kern w:val="0"/>
          <w:sz w:val="28"/>
          <w:szCs w:val="28"/>
        </w:rPr>
        <w:t xml:space="preserve">第二十四条 </w:t>
      </w:r>
      <w:r>
        <w:rPr>
          <w:rFonts w:hint="eastAsia" w:ascii="宋体" w:hAnsi="宋体" w:cs="宋体"/>
          <w:kern w:val="0"/>
          <w:sz w:val="28"/>
          <w:szCs w:val="28"/>
        </w:rPr>
        <w:t>本办法实施细则由基金会制定。</w:t>
      </w:r>
    </w:p>
    <w:p>
      <w:pPr>
        <w:widowControl/>
        <w:shd w:val="clear" w:color="auto" w:fill="FFFFFF"/>
        <w:ind w:firstLine="562" w:firstLineChars="200"/>
        <w:rPr>
          <w:rFonts w:ascii="宋体" w:hAnsi="宋体" w:cs="宋体"/>
          <w:kern w:val="0"/>
          <w:sz w:val="28"/>
          <w:szCs w:val="28"/>
        </w:rPr>
      </w:pPr>
      <w:r>
        <w:rPr>
          <w:rFonts w:hint="eastAsia" w:ascii="宋体" w:hAnsi="宋体" w:cs="宋体"/>
          <w:b/>
          <w:kern w:val="0"/>
          <w:sz w:val="28"/>
          <w:szCs w:val="28"/>
        </w:rPr>
        <w:t xml:space="preserve">第二十五条 </w:t>
      </w:r>
      <w:r>
        <w:rPr>
          <w:rFonts w:hint="eastAsia" w:ascii="宋体" w:hAnsi="宋体" w:cs="宋体"/>
          <w:kern w:val="0"/>
          <w:sz w:val="28"/>
          <w:szCs w:val="28"/>
        </w:rPr>
        <w:t>本办法为暂行办法。由基金会附则修订和解释。</w:t>
      </w:r>
    </w:p>
    <w:p>
      <w:pPr>
        <w:widowControl/>
        <w:shd w:val="clear" w:color="auto" w:fill="FFFFFF"/>
        <w:ind w:firstLine="562" w:firstLineChars="200"/>
        <w:rPr>
          <w:rFonts w:ascii="宋体" w:cs="宋体"/>
          <w:kern w:val="0"/>
          <w:sz w:val="28"/>
          <w:szCs w:val="28"/>
        </w:rPr>
      </w:pPr>
      <w:r>
        <w:rPr>
          <w:rFonts w:hint="eastAsia" w:ascii="宋体" w:hAnsi="宋体" w:cs="宋体"/>
          <w:b/>
          <w:kern w:val="0"/>
          <w:sz w:val="28"/>
          <w:szCs w:val="28"/>
        </w:rPr>
        <w:t xml:space="preserve">第二十六条 </w:t>
      </w:r>
      <w:r>
        <w:rPr>
          <w:rFonts w:hint="eastAsia" w:ascii="宋体" w:hAnsi="宋体" w:cs="宋体"/>
          <w:kern w:val="0"/>
          <w:sz w:val="28"/>
          <w:szCs w:val="28"/>
        </w:rPr>
        <w:t>本办法自2016年1月1日起生效。</w:t>
      </w:r>
    </w:p>
    <w:p/>
    <w:p/>
    <w:p/>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41688"/>
    </w:sdtPr>
    <w:sdtContent>
      <w:sdt>
        <w:sdtPr>
          <w:id w:val="171357217"/>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925EB"/>
    <w:multiLevelType w:val="singleLevel"/>
    <w:tmpl w:val="566925EB"/>
    <w:lvl w:ilvl="0" w:tentative="0">
      <w:start w:val="7"/>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76"/>
    <w:rsid w:val="00003723"/>
    <w:rsid w:val="00007613"/>
    <w:rsid w:val="00082F40"/>
    <w:rsid w:val="000A2363"/>
    <w:rsid w:val="000A4249"/>
    <w:rsid w:val="000B2D58"/>
    <w:rsid w:val="000C3C87"/>
    <w:rsid w:val="000F7E3F"/>
    <w:rsid w:val="00104E67"/>
    <w:rsid w:val="00153029"/>
    <w:rsid w:val="00153F13"/>
    <w:rsid w:val="001710AE"/>
    <w:rsid w:val="001C5DE3"/>
    <w:rsid w:val="00252542"/>
    <w:rsid w:val="002659F0"/>
    <w:rsid w:val="00285A13"/>
    <w:rsid w:val="00293C23"/>
    <w:rsid w:val="00294651"/>
    <w:rsid w:val="002E2264"/>
    <w:rsid w:val="002F6AE4"/>
    <w:rsid w:val="00382FA7"/>
    <w:rsid w:val="00385695"/>
    <w:rsid w:val="003B4479"/>
    <w:rsid w:val="004201E8"/>
    <w:rsid w:val="00427157"/>
    <w:rsid w:val="004643AC"/>
    <w:rsid w:val="004E2462"/>
    <w:rsid w:val="00527A2C"/>
    <w:rsid w:val="005A4B4F"/>
    <w:rsid w:val="005C2569"/>
    <w:rsid w:val="005C7EA7"/>
    <w:rsid w:val="005F13C3"/>
    <w:rsid w:val="006020A2"/>
    <w:rsid w:val="006A439E"/>
    <w:rsid w:val="006B4276"/>
    <w:rsid w:val="006C571E"/>
    <w:rsid w:val="00715CAD"/>
    <w:rsid w:val="00720950"/>
    <w:rsid w:val="00741F72"/>
    <w:rsid w:val="007454DE"/>
    <w:rsid w:val="007623D3"/>
    <w:rsid w:val="00773360"/>
    <w:rsid w:val="007B37FE"/>
    <w:rsid w:val="007D6D5B"/>
    <w:rsid w:val="007E2E76"/>
    <w:rsid w:val="00827F66"/>
    <w:rsid w:val="00845763"/>
    <w:rsid w:val="008608D9"/>
    <w:rsid w:val="008765EB"/>
    <w:rsid w:val="008818ED"/>
    <w:rsid w:val="008878AA"/>
    <w:rsid w:val="008B6B14"/>
    <w:rsid w:val="008F66E0"/>
    <w:rsid w:val="008F6F4A"/>
    <w:rsid w:val="00934766"/>
    <w:rsid w:val="009451E5"/>
    <w:rsid w:val="0096077D"/>
    <w:rsid w:val="00A5224A"/>
    <w:rsid w:val="00A55F9F"/>
    <w:rsid w:val="00AA23E8"/>
    <w:rsid w:val="00AA6AF8"/>
    <w:rsid w:val="00AB6013"/>
    <w:rsid w:val="00AC5E8D"/>
    <w:rsid w:val="00B44A3D"/>
    <w:rsid w:val="00B4797B"/>
    <w:rsid w:val="00B55C71"/>
    <w:rsid w:val="00B703EF"/>
    <w:rsid w:val="00B76D66"/>
    <w:rsid w:val="00B84B13"/>
    <w:rsid w:val="00BA4619"/>
    <w:rsid w:val="00C274DF"/>
    <w:rsid w:val="00C8738F"/>
    <w:rsid w:val="00CA5217"/>
    <w:rsid w:val="00CB004A"/>
    <w:rsid w:val="00CB6892"/>
    <w:rsid w:val="00CC4F82"/>
    <w:rsid w:val="00CD0661"/>
    <w:rsid w:val="00CD7D04"/>
    <w:rsid w:val="00D40487"/>
    <w:rsid w:val="00D66217"/>
    <w:rsid w:val="00D7381B"/>
    <w:rsid w:val="00DA2895"/>
    <w:rsid w:val="00E14EFF"/>
    <w:rsid w:val="00E4379A"/>
    <w:rsid w:val="00E844BC"/>
    <w:rsid w:val="00E905CD"/>
    <w:rsid w:val="00E90972"/>
    <w:rsid w:val="00EA1F24"/>
    <w:rsid w:val="00EE4DA1"/>
    <w:rsid w:val="00F4399E"/>
    <w:rsid w:val="00F71DB6"/>
    <w:rsid w:val="00F86757"/>
    <w:rsid w:val="07485E01"/>
    <w:rsid w:val="093E020C"/>
    <w:rsid w:val="0A1A42A5"/>
    <w:rsid w:val="0AA53284"/>
    <w:rsid w:val="103145A0"/>
    <w:rsid w:val="11090A00"/>
    <w:rsid w:val="1252421A"/>
    <w:rsid w:val="13876815"/>
    <w:rsid w:val="1A2C607F"/>
    <w:rsid w:val="21C27070"/>
    <w:rsid w:val="25AA0EC5"/>
    <w:rsid w:val="31C439B2"/>
    <w:rsid w:val="35BE4538"/>
    <w:rsid w:val="4298341F"/>
    <w:rsid w:val="4AF56B3A"/>
    <w:rsid w:val="5A7B2EFD"/>
    <w:rsid w:val="5DE02BAB"/>
    <w:rsid w:val="61461CCF"/>
    <w:rsid w:val="67AF422A"/>
    <w:rsid w:val="6AC14AB2"/>
    <w:rsid w:val="6ACA31C3"/>
    <w:rsid w:val="6C3A2120"/>
    <w:rsid w:val="6DA35E6F"/>
    <w:rsid w:val="74434C08"/>
    <w:rsid w:val="7B3C7DB9"/>
    <w:rsid w:val="7FDC55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qFormat/>
    <w:locked/>
    <w:uiPriority w:val="99"/>
    <w:rPr>
      <w:rFonts w:cs="Times New Roman"/>
      <w:sz w:val="18"/>
      <w:szCs w:val="18"/>
    </w:rPr>
  </w:style>
  <w:style w:type="character" w:customStyle="1" w:styleId="7">
    <w:name w:val="页眉 Char"/>
    <w:basedOn w:val="4"/>
    <w:link w:val="3"/>
    <w:semiHidden/>
    <w:qFormat/>
    <w:locked/>
    <w:uiPriority w:val="99"/>
    <w:rPr>
      <w:rFonts w:cs="Times New Roman"/>
      <w:sz w:val="18"/>
      <w:szCs w:val="18"/>
    </w:rPr>
  </w:style>
  <w:style w:type="paragraph" w:customStyle="1" w:styleId="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281</Words>
  <Characters>1604</Characters>
  <Lines>13</Lines>
  <Paragraphs>3</Paragraphs>
  <ScaleCrop>false</ScaleCrop>
  <LinksUpToDate>false</LinksUpToDate>
  <CharactersWithSpaces>1882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2016-01-29T08:11:00Z</dcterms:created>
  <dc:creator>xiabin</dc:creator>
  <cp:lastModifiedBy>H</cp:lastModifiedBy>
  <cp:lastPrinted>2016-03-14T07:14:00Z</cp:lastPrinted>
  <dcterms:modified xsi:type="dcterms:W3CDTF">2018-02-02T07:07:21Z</dcterms:modified>
  <dc:title>全国经济学优秀博士论文章程_（讨论稿）</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