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atLeast"/>
        <w:ind w:right="332"/>
        <w:rPr>
          <w:rFonts w:ascii="宋体" w:hAnsi="宋体"/>
          <w:kern w:val="0"/>
          <w:sz w:val="28"/>
          <w:szCs w:val="28"/>
          <w:shd w:val="clear" w:color="auto" w:fill="FFFFFF"/>
        </w:rPr>
      </w:pPr>
      <w:r>
        <w:rPr>
          <w:rFonts w:hint="eastAsia" w:ascii="宋体" w:hAnsi="宋体"/>
          <w:kern w:val="0"/>
          <w:sz w:val="28"/>
          <w:szCs w:val="28"/>
          <w:shd w:val="clear" w:color="auto" w:fill="FFFFFF"/>
        </w:rPr>
        <w:t>附件2：</w:t>
      </w:r>
    </w:p>
    <w:p>
      <w:pPr>
        <w:spacing w:line="508" w:lineRule="auto"/>
        <w:jc w:val="center"/>
        <w:rPr>
          <w:rFonts w:hint="eastAsia" w:ascii="楷体" w:hAnsi="楷体" w:eastAsia="楷体"/>
          <w:b/>
          <w:bCs/>
          <w:sz w:val="32"/>
          <w:szCs w:val="32"/>
        </w:rPr>
      </w:pPr>
      <w:r>
        <w:rPr>
          <w:rFonts w:hint="eastAsia" w:ascii="楷体" w:hAnsi="楷体" w:eastAsia="楷体"/>
          <w:b/>
          <w:bCs/>
          <w:sz w:val="32"/>
          <w:szCs w:val="32"/>
        </w:rPr>
        <w:t>武汉大学经济与管理学院</w:t>
      </w:r>
    </w:p>
    <w:p>
      <w:pPr>
        <w:spacing w:line="508" w:lineRule="auto"/>
        <w:jc w:val="center"/>
        <w:rPr>
          <w:rFonts w:hint="eastAsia" w:ascii="楷体" w:hAnsi="楷体" w:eastAsia="楷体"/>
          <w:b/>
          <w:bCs/>
          <w:sz w:val="32"/>
          <w:szCs w:val="32"/>
        </w:rPr>
      </w:pPr>
      <w:r>
        <w:rPr>
          <w:rFonts w:hint="eastAsia" w:ascii="楷体" w:hAnsi="楷体" w:eastAsia="楷体"/>
          <w:b/>
          <w:bCs/>
          <w:sz w:val="32"/>
          <w:szCs w:val="32"/>
        </w:rPr>
        <w:t>关于博士学位论文答辩和博士学位申请资格论文认定的规定</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 xml:space="preserve"> </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为进一步提高博士研究生的科研水平和创新能力，切实保证和提高博士研究生的培养质量，根据《武汉大学关于博士研究生申请学位资格论文的暂行规定》（武大研字〔2013〕13号）的有关精神和2013年《武汉大学经济与管理学院关于修订学术型博士研究生培养方案的通知》和《武汉大学2014年申请博士学位有关规定》的相关规定，结合我院实际情况，特修订《武汉大学经济与管理学院关于博士学位论文答辩和博士学位申请资格论文认定的规定》（以下简称“本规定”）。现就我院博士研究生申请博士学位资格论文作出如下规定：</w:t>
      </w:r>
    </w:p>
    <w:p>
      <w:pPr>
        <w:spacing w:line="420" w:lineRule="exact"/>
        <w:ind w:firstLine="643"/>
        <w:rPr>
          <w:rFonts w:hint="eastAsia" w:ascii="楷体" w:hAnsi="楷体" w:eastAsia="楷体"/>
          <w:b/>
          <w:bCs/>
          <w:sz w:val="28"/>
          <w:szCs w:val="28"/>
        </w:rPr>
      </w:pPr>
      <w:r>
        <w:rPr>
          <w:rFonts w:hint="eastAsia" w:ascii="楷体" w:hAnsi="楷体" w:eastAsia="楷体"/>
          <w:b/>
          <w:bCs/>
          <w:sz w:val="28"/>
          <w:szCs w:val="28"/>
        </w:rPr>
        <w:t>（一）普通招考类博士生</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（1）在博士生正常培养年限内毕业的博士生，博士学位论文答辩和博士学位申请资格论文条件为发表1篇B</w:t>
      </w:r>
      <w:r>
        <w:rPr>
          <w:rFonts w:hint="eastAsia" w:ascii="楷体" w:hAnsi="楷体" w:eastAsia="楷体"/>
          <w:sz w:val="28"/>
          <w:szCs w:val="28"/>
          <w:vertAlign w:val="superscript"/>
        </w:rPr>
        <w:t>+</w:t>
      </w:r>
      <w:r>
        <w:rPr>
          <w:rFonts w:hint="eastAsia" w:ascii="楷体" w:hAnsi="楷体" w:eastAsia="楷体"/>
          <w:sz w:val="28"/>
          <w:szCs w:val="28"/>
        </w:rPr>
        <w:t>级期刊论文；或者发表2篇B级期刊论文。</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（2）超出博士生正常培养年限1年内毕业的博士生，博士学位论文答辩和博士学位申请资格论文条件为发表1篇B级期刊论文和1篇CSSCI期刊论文；或者发表2篇B</w:t>
      </w:r>
      <w:r>
        <w:rPr>
          <w:rFonts w:hint="eastAsia" w:ascii="楷体" w:hAnsi="楷体" w:eastAsia="楷体"/>
          <w:sz w:val="28"/>
          <w:szCs w:val="28"/>
          <w:vertAlign w:val="superscript"/>
        </w:rPr>
        <w:t>-</w:t>
      </w:r>
      <w:r>
        <w:rPr>
          <w:rFonts w:hint="eastAsia" w:ascii="楷体" w:hAnsi="楷体" w:eastAsia="楷体"/>
          <w:sz w:val="28"/>
          <w:szCs w:val="28"/>
        </w:rPr>
        <w:t>期刊论文；</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（3）超出博士生正常培养年限2年及以上毕业的博士生，博士学位论文答辩和博士学位申请资格论文条件为发表1篇B</w:t>
      </w:r>
      <w:r>
        <w:rPr>
          <w:rFonts w:hint="eastAsia" w:ascii="楷体" w:hAnsi="楷体" w:eastAsia="楷体"/>
          <w:sz w:val="28"/>
          <w:szCs w:val="28"/>
          <w:vertAlign w:val="superscript"/>
        </w:rPr>
        <w:t>-</w:t>
      </w:r>
      <w:r>
        <w:rPr>
          <w:rFonts w:hint="eastAsia" w:ascii="楷体" w:hAnsi="楷体" w:eastAsia="楷体"/>
          <w:sz w:val="28"/>
          <w:szCs w:val="28"/>
        </w:rPr>
        <w:t>期刊论文（重要期刊论文）和1篇CSSCI期刊论文。</w:t>
      </w:r>
    </w:p>
    <w:p>
      <w:pPr>
        <w:spacing w:line="420" w:lineRule="exact"/>
        <w:ind w:firstLine="643"/>
        <w:rPr>
          <w:rFonts w:hint="eastAsia" w:ascii="楷体" w:hAnsi="楷体" w:eastAsia="楷体"/>
          <w:b/>
          <w:bCs/>
          <w:sz w:val="28"/>
          <w:szCs w:val="28"/>
        </w:rPr>
      </w:pPr>
      <w:r>
        <w:rPr>
          <w:rFonts w:hint="eastAsia" w:ascii="楷体" w:hAnsi="楷体" w:eastAsia="楷体"/>
          <w:b/>
          <w:bCs/>
          <w:sz w:val="28"/>
          <w:szCs w:val="28"/>
        </w:rPr>
        <w:t>（二）硕博连读博士生</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（1）在硕博连读博士生正常培养年限内毕业的博士生，博士学位论文答辩和博士学位申请资格论文条件为1篇B</w:t>
      </w:r>
      <w:r>
        <w:rPr>
          <w:rFonts w:hint="eastAsia" w:ascii="楷体" w:hAnsi="楷体" w:eastAsia="楷体"/>
          <w:sz w:val="28"/>
          <w:szCs w:val="28"/>
          <w:vertAlign w:val="superscript"/>
        </w:rPr>
        <w:t>+</w:t>
      </w:r>
      <w:r>
        <w:rPr>
          <w:rFonts w:hint="eastAsia" w:ascii="楷体" w:hAnsi="楷体" w:eastAsia="楷体"/>
          <w:sz w:val="28"/>
          <w:szCs w:val="28"/>
        </w:rPr>
        <w:t>级期刊论文和1篇CSSCI期刊论文，或者发表2篇B级期刊论文和1篇CSSCI期刊论文。</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（2）超出硕博连读博士生正常培养年限1年内毕业的博士生，博士学位论文答辩和博士学位申请资格论文条件为1篇B级期刊论文和1篇B</w:t>
      </w:r>
      <w:r>
        <w:rPr>
          <w:rFonts w:hint="eastAsia" w:ascii="楷体" w:hAnsi="楷体" w:eastAsia="楷体"/>
          <w:sz w:val="28"/>
          <w:szCs w:val="28"/>
          <w:vertAlign w:val="superscript"/>
        </w:rPr>
        <w:t>-</w:t>
      </w:r>
      <w:r>
        <w:rPr>
          <w:rFonts w:hint="eastAsia" w:ascii="楷体" w:hAnsi="楷体" w:eastAsia="楷体"/>
          <w:sz w:val="28"/>
          <w:szCs w:val="28"/>
        </w:rPr>
        <w:t>期刊论文；或者2篇B</w:t>
      </w:r>
      <w:r>
        <w:rPr>
          <w:rFonts w:hint="eastAsia" w:ascii="楷体" w:hAnsi="楷体" w:eastAsia="楷体"/>
          <w:sz w:val="28"/>
          <w:szCs w:val="28"/>
          <w:vertAlign w:val="superscript"/>
        </w:rPr>
        <w:t>-</w:t>
      </w:r>
      <w:r>
        <w:rPr>
          <w:rFonts w:hint="eastAsia" w:ascii="楷体" w:hAnsi="楷体" w:eastAsia="楷体"/>
          <w:sz w:val="28"/>
          <w:szCs w:val="28"/>
        </w:rPr>
        <w:t>期刊论文和1篇CSSCI期刊论文。</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（3）超出硕博连读博士生正常培养年限2年及以上毕业的博士生， 博士学位申请学位资格论文条件为1篇B</w:t>
      </w:r>
      <w:r>
        <w:rPr>
          <w:rFonts w:hint="eastAsia" w:ascii="楷体" w:hAnsi="楷体" w:eastAsia="楷体"/>
          <w:sz w:val="28"/>
          <w:szCs w:val="28"/>
          <w:vertAlign w:val="superscript"/>
        </w:rPr>
        <w:t>-</w:t>
      </w:r>
      <w:r>
        <w:rPr>
          <w:rFonts w:hint="eastAsia" w:ascii="楷体" w:hAnsi="楷体" w:eastAsia="楷体"/>
          <w:sz w:val="28"/>
          <w:szCs w:val="28"/>
        </w:rPr>
        <w:t>期刊和1篇CSSCI期刊论文。</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说明：以上论文录用网上可查即可，但需要提供证明材料。</w:t>
      </w:r>
    </w:p>
    <w:p>
      <w:pPr>
        <w:spacing w:line="420" w:lineRule="exact"/>
        <w:ind w:firstLine="643"/>
        <w:rPr>
          <w:rFonts w:hint="eastAsia" w:ascii="楷体" w:hAnsi="楷体" w:eastAsia="楷体"/>
          <w:b/>
          <w:bCs/>
          <w:sz w:val="28"/>
          <w:szCs w:val="28"/>
        </w:rPr>
      </w:pPr>
      <w:r>
        <w:rPr>
          <w:rFonts w:hint="eastAsia" w:ascii="楷体" w:hAnsi="楷体" w:eastAsia="楷体"/>
          <w:b/>
          <w:bCs/>
          <w:sz w:val="28"/>
          <w:szCs w:val="28"/>
        </w:rPr>
        <w:t>（三）署名要求</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博士研究生在学期间发表的学术论文应与所在学科专业相关，必须以武汉大学经济与管理学院或者学院所属教学、科研单位为第一作者单位，且以第一作者身份（或导师为第一作者、研究生本人为第二作者）或以通讯作者发表。</w:t>
      </w:r>
    </w:p>
    <w:p>
      <w:pPr>
        <w:spacing w:line="420" w:lineRule="exact"/>
        <w:ind w:firstLine="643"/>
        <w:rPr>
          <w:rFonts w:hint="eastAsia" w:ascii="楷体" w:hAnsi="楷体" w:eastAsia="楷体"/>
          <w:b/>
          <w:bCs/>
          <w:sz w:val="28"/>
          <w:szCs w:val="28"/>
        </w:rPr>
      </w:pPr>
      <w:r>
        <w:rPr>
          <w:rFonts w:hint="eastAsia" w:ascii="楷体" w:hAnsi="楷体" w:eastAsia="楷体"/>
          <w:b/>
          <w:bCs/>
          <w:sz w:val="28"/>
          <w:szCs w:val="28"/>
        </w:rPr>
        <w:t>（四）期刊论文以外科研成果的认定</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1.在人民出版社、科学出版社、高等教育出版社（仅限人文社会科学类学术丛书）独立出版字数不少于15万字的学术专著或者研究生本人为第一作者且撰写字数不少于15万字的学术专著（需在专著里对本人撰写字数进行明确说明），视同为1篇B</w:t>
      </w:r>
      <w:r>
        <w:rPr>
          <w:rFonts w:hint="eastAsia" w:ascii="楷体" w:hAnsi="楷体" w:eastAsia="楷体"/>
          <w:sz w:val="28"/>
          <w:szCs w:val="28"/>
          <w:vertAlign w:val="superscript"/>
        </w:rPr>
        <w:t>-</w:t>
      </w:r>
      <w:r>
        <w:rPr>
          <w:rFonts w:hint="eastAsia" w:ascii="楷体" w:hAnsi="楷体" w:eastAsia="楷体"/>
          <w:sz w:val="28"/>
          <w:szCs w:val="28"/>
        </w:rPr>
        <w:t>级期刊论文。出版的学术专著研究生作者身份的认定以版权页为依据，研究生在申请举行博士学位论文答辩和申请博士学位之时必须提交所出版学术专著的原件1册。</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2.博士研究生获得省部级及以上重要科研奖项，省部级一等奖、二等奖视同为1篇B</w:t>
      </w:r>
      <w:r>
        <w:rPr>
          <w:rFonts w:hint="eastAsia" w:ascii="楷体" w:hAnsi="楷体" w:eastAsia="楷体"/>
          <w:sz w:val="28"/>
          <w:szCs w:val="28"/>
          <w:vertAlign w:val="superscript"/>
        </w:rPr>
        <w:t>+</w:t>
      </w:r>
      <w:r>
        <w:rPr>
          <w:rFonts w:hint="eastAsia" w:ascii="楷体" w:hAnsi="楷体" w:eastAsia="楷体"/>
          <w:sz w:val="28"/>
          <w:szCs w:val="28"/>
        </w:rPr>
        <w:t>级期刊论文，三等奖视同为1篇B级期刊论文，但以上奖项均只认定学生排名第一（或导师排名第一，学生排名第二）的情况；研究生在申请举行博士学位论文答辩和申请博士学位之时必须提交所获奖励证书的原件和复印件。</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3.博士研究生以第一作者身份（或导师为第一作者、研究生本人为第二作者）提供的研究报告、咨询报告获得政府部门在任省部级及省部级以上领导肯定性批示并产生了重要影响的，可认定为公开发表1篇CSSCI期刊论文。</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研究生在申请举行博士学位论文答辩和申请博士学位之时必须提供批示件的复印件和被批示的研究报告、咨询报告全文。</w:t>
      </w:r>
    </w:p>
    <w:p>
      <w:pPr>
        <w:spacing w:line="420" w:lineRule="exact"/>
        <w:ind w:firstLine="643"/>
        <w:jc w:val="left"/>
        <w:rPr>
          <w:rFonts w:hint="eastAsia" w:ascii="楷体" w:hAnsi="楷体" w:eastAsia="楷体"/>
          <w:b/>
          <w:bCs/>
          <w:sz w:val="28"/>
          <w:szCs w:val="28"/>
        </w:rPr>
      </w:pPr>
      <w:r>
        <w:rPr>
          <w:rFonts w:hint="eastAsia" w:ascii="楷体" w:hAnsi="楷体" w:eastAsia="楷体"/>
          <w:b/>
          <w:bCs/>
          <w:sz w:val="28"/>
          <w:szCs w:val="28"/>
        </w:rPr>
        <w:t>（五）其他</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（1）论文分级按学院期刊目录执行。</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（2）本规定从2019级博士研究生开始施行。</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（3）本规定解释权归武汉大学经济与管理学院。</w:t>
      </w:r>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 xml:space="preserve"> </w:t>
      </w:r>
      <w:bookmarkStart w:id="0" w:name="_GoBack"/>
      <w:bookmarkEnd w:id="0"/>
    </w:p>
    <w:p>
      <w:pPr>
        <w:spacing w:line="420" w:lineRule="exact"/>
        <w:ind w:firstLine="560"/>
        <w:jc w:val="left"/>
        <w:rPr>
          <w:rFonts w:hint="eastAsia" w:ascii="楷体" w:hAnsi="楷体" w:eastAsia="楷体"/>
          <w:sz w:val="28"/>
          <w:szCs w:val="28"/>
        </w:rPr>
      </w:pPr>
      <w:r>
        <w:rPr>
          <w:rFonts w:hint="eastAsia" w:ascii="楷体" w:hAnsi="楷体" w:eastAsia="楷体"/>
          <w:sz w:val="28"/>
          <w:szCs w:val="28"/>
        </w:rPr>
        <w:t xml:space="preserve"> </w:t>
      </w:r>
    </w:p>
    <w:p>
      <w:pPr>
        <w:spacing w:line="420" w:lineRule="exact"/>
        <w:ind w:firstLine="560"/>
        <w:jc w:val="right"/>
        <w:rPr>
          <w:rFonts w:hint="eastAsia" w:ascii="楷体" w:hAnsi="楷体" w:eastAsia="楷体"/>
          <w:sz w:val="28"/>
          <w:szCs w:val="28"/>
        </w:rPr>
      </w:pPr>
      <w:r>
        <w:rPr>
          <w:rFonts w:hint="eastAsia" w:ascii="楷体" w:hAnsi="楷体" w:eastAsia="楷体"/>
          <w:sz w:val="28"/>
          <w:szCs w:val="28"/>
        </w:rPr>
        <w:t xml:space="preserve">                                 武汉大学经济与管理学院</w:t>
      </w:r>
    </w:p>
    <w:p>
      <w:pPr>
        <w:spacing w:line="420" w:lineRule="exact"/>
        <w:ind w:firstLine="560"/>
        <w:jc w:val="right"/>
        <w:rPr>
          <w:rFonts w:hint="eastAsia" w:ascii="楷体" w:hAnsi="楷体" w:eastAsia="楷体"/>
          <w:sz w:val="28"/>
          <w:szCs w:val="28"/>
        </w:rPr>
      </w:pPr>
      <w:r>
        <w:rPr>
          <w:rFonts w:hint="eastAsia" w:ascii="楷体" w:hAnsi="楷体" w:eastAsia="楷体"/>
          <w:sz w:val="28"/>
          <w:szCs w:val="28"/>
        </w:rPr>
        <w:t xml:space="preserve">                                         2018年12月</w:t>
      </w:r>
    </w:p>
    <w:p>
      <w:pPr>
        <w:pStyle w:val="2"/>
        <w:rPr>
          <w:rFonts w:hint="eastAsia" w:hAnsi="宋体"/>
          <w:sz w:val="24"/>
          <w:szCs w:val="24"/>
        </w:rPr>
      </w:pPr>
      <w:r>
        <w:rPr>
          <w:rFonts w:hint="eastAsia" w:hAnsi="宋体"/>
          <w:sz w:val="24"/>
          <w:szCs w:val="24"/>
        </w:rPr>
        <w:t xml:space="preserve"> </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EE"/>
    <w:rsid w:val="002C0AC0"/>
    <w:rsid w:val="004632EE"/>
    <w:rsid w:val="46931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5"/>
    <w:unhideWhenUsed/>
    <w:qFormat/>
    <w:uiPriority w:val="99"/>
    <w:rPr>
      <w:rFonts w:ascii="宋体" w:hAnsi="Courier New" w:cs="Courier New"/>
    </w:rPr>
  </w:style>
  <w:style w:type="character" w:customStyle="1" w:styleId="5">
    <w:name w:val="纯文本 字符"/>
    <w:basedOn w:val="4"/>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239</Words>
  <Characters>1367</Characters>
  <Lines>11</Lines>
  <Paragraphs>3</Paragraphs>
  <TotalTime>2</TotalTime>
  <ScaleCrop>false</ScaleCrop>
  <LinksUpToDate>false</LinksUpToDate>
  <CharactersWithSpaces>1603</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2019-09-23T06:45:00Z</dcterms:created>
  <dc:creator>Administrator</dc:creator>
  <cp:lastModifiedBy>梦想天平</cp:lastModifiedBy>
  <dcterms:modified xsi:type="dcterms:W3CDTF">2019-09-23T06:54:53Z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